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彩云" w:eastAsia="华文彩云"/>
          <w:b/>
          <w:color w:val="FF0000"/>
          <w:sz w:val="32"/>
        </w:rPr>
      </w:pPr>
      <w:r>
        <w:rPr>
          <w:rFonts w:hint="eastAsia" w:ascii="华文彩云" w:eastAsia="华文彩云"/>
          <w:b/>
          <w:color w:val="FF0000"/>
          <w:sz w:val="32"/>
        </w:rPr>
        <w:t>关于 黄金坑 的使用说明</w:t>
      </w:r>
    </w:p>
    <w:p>
      <w:pPr>
        <w:jc w:val="left"/>
        <w:rPr>
          <w:rFonts w:hint="eastAsia"/>
        </w:rPr>
      </w:pPr>
    </w:p>
    <w:p>
      <w:pPr>
        <w:jc w:val="left"/>
      </w:pPr>
      <w:r>
        <w:rPr>
          <w:rFonts w:hint="eastAsia"/>
        </w:rPr>
        <w:t>图例</w:t>
      </w:r>
    </w:p>
    <w:p>
      <w:pPr>
        <w:jc w:val="left"/>
      </w:pPr>
      <w:r>
        <w:drawing>
          <wp:inline distT="0" distB="0" distL="0" distR="0">
            <wp:extent cx="2099310" cy="1628775"/>
            <wp:effectExtent l="19050" t="0" r="0" b="0"/>
            <wp:docPr id="1" name="图片 1" descr="C:\Documents and Settings\Administrator\Application Data\Tencent\Users\470990018\TIM\WinTemp\RichOle\RIQ_JS(@CE(L}IXHK{OPZ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Administrator\Application Data\Tencent\Users\470990018\TIM\WinTemp\RichOle\RIQ_JS(@CE(L}IXHK{OPZC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9867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847850" cy="1627505"/>
            <wp:effectExtent l="19050" t="0" r="0" b="0"/>
            <wp:docPr id="5" name="图片 2" descr="C:\Program Files\Tencent\TIM\Users\470990018\Image\Group\2LZN{]2I8BJ`4ZUXFWU9AM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Program Files\Tencent\TIM\Users\470990018\Image\Group\2LZN{]2I8BJ`4ZUXFWU9AM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2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  <w:r>
        <w:drawing>
          <wp:inline distT="0" distB="0" distL="0" distR="0">
            <wp:extent cx="3905250" cy="2040255"/>
            <wp:effectExtent l="19050" t="0" r="0" b="0"/>
            <wp:docPr id="4" name="图片 3" descr="C:\Program Files\Tencent\TIM\Users\470990018\Image\Group\)7{)O1B53RM%EWJS0WM85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C:\Program Files\Tencent\TIM\Users\470990018\Image\Group\)7{)O1B53RM%EWJS0WM85B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9915" cy="2043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首先说明一点，黄金坑战法使用的股票软件是通达信官方免费软件或券商版通达信，自己可到官方网站（    ）自行下载</w:t>
      </w:r>
    </w:p>
    <w:p>
      <w:pPr>
        <w:jc w:val="left"/>
      </w:pPr>
    </w:p>
    <w:p>
      <w:pPr>
        <w:ind w:firstLine="420" w:firstLineChars="200"/>
        <w:jc w:val="left"/>
      </w:pPr>
      <w:r>
        <w:rPr>
          <w:rFonts w:hint="eastAsia"/>
        </w:rPr>
        <w:t>本人拼杀股市多年，有赢有赔。不断学习不断总结，利用设计的长处并借用前辈的优点发明了黄金坑战法。使自己处于股市的不败之地，即使行情大跌。</w:t>
      </w:r>
    </w:p>
    <w:p>
      <w:pPr>
        <w:jc w:val="left"/>
      </w:pPr>
      <w:r>
        <w:rPr>
          <w:rFonts w:hint="eastAsia"/>
        </w:rPr>
        <w:t xml:space="preserve">    它的原理是当股票下跌至一定程度时就会表现为衰竭力不足，当有一股力量介入时黄金坑就会及时发现它的异动。黄金坑就是上升趋势的开始点。再结合</w:t>
      </w:r>
      <w:r>
        <w:rPr>
          <w:rFonts w:hint="eastAsia"/>
          <w:b/>
          <w:u w:val="single"/>
        </w:rPr>
        <w:t>特殊的大盘周期表</w:t>
      </w:r>
      <w:r>
        <w:rPr>
          <w:rFonts w:hint="eastAsia"/>
        </w:rPr>
        <w:t>你的操作就会一目了然。买在股票低位启动点是每一位散户的理想选择。当然如果你懂得一点黑马王子的量学知识会更好一些。</w:t>
      </w:r>
    </w:p>
    <w:p>
      <w:pPr>
        <w:jc w:val="left"/>
      </w:pPr>
      <w:r>
        <w:rPr>
          <w:rFonts w:hint="eastAsia"/>
        </w:rPr>
        <w:t xml:space="preserve">   我们简单明了，直入主题。</w:t>
      </w:r>
    </w:p>
    <w:p>
      <w:pPr>
        <w:jc w:val="left"/>
      </w:pPr>
      <w:r>
        <w:rPr>
          <w:rFonts w:hint="eastAsia"/>
        </w:rPr>
        <w:t xml:space="preserve">   一．黄金坑战法简介，黄金坑战法目前分为两种。</w:t>
      </w:r>
    </w:p>
    <w:p>
      <w:pPr>
        <w:jc w:val="left"/>
      </w:pPr>
      <w:r>
        <w:rPr>
          <w:rFonts w:hint="eastAsia"/>
        </w:rPr>
        <w:t xml:space="preserve">     1.当股票大幅下跌后突然出现黄金坑标示，应考虑介入。如图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457325" cy="1349375"/>
            <wp:effectExtent l="19050" t="0" r="9525" b="0"/>
            <wp:docPr id="3" name="图片 3" descr="C:\Documents and Settings\Administrator\Application Data\Tencent\Users\1363299739\TIM\WinTemp\RichOle\8W}N5RV9PD9V7YQ}F4G3`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Documents and Settings\Administrator\Application Data\Tencent\Users\1363299739\TIM\WinTemp\RichOle\8W}N5RV9PD9V7YQ}F4G3`RX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4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533525" cy="1359535"/>
            <wp:effectExtent l="19050" t="0" r="9525" b="0"/>
            <wp:docPr id="7" name="图片 7" descr="C:\Documents and Settings\Administrator\Application Data\Tencent\Users\1363299739\TIM\WinTemp\RichOle\`%C9PV3$RZW3MI${[V_Z5(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Documents and Settings\Administrator\Application Data\Tencent\Users\1363299739\TIM\WinTemp\RichOle\`%C9PV3$RZW3MI${[V_Z5(W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6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457325" cy="1352550"/>
            <wp:effectExtent l="19050" t="0" r="9525" b="0"/>
            <wp:docPr id="11" name="图片 11" descr="C:\Documents and Settings\Administrator\Application Data\Tencent\Users\1363299739\TIM\WinTemp\RichOle\V}HFO$YR0)OVA3NU_8CEN@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Documents and Settings\Administrator\Application Data\Tencent\Users\1363299739\TIM\WinTemp\RichOle\V}HFO$YR0)OVA3NU_8CEN@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ind w:firstLine="240" w:firstLineChars="1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</w:rPr>
        <w:t>此种情况如何选择买入时机：①尾盘的14:50-14:57买入②买入价最好以当日涨幅在3%左右为好③观察好群主交代的大盘周期表④当前热点题材⑤观察当日黄金坑涨停中的特点</w:t>
      </w:r>
    </w:p>
    <w:p>
      <w:pPr>
        <w:widowControl/>
        <w:ind w:firstLine="360" w:firstLineChars="15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此种情况如何止损，记住以当前黄金坑的开盘价作为止损价切以日线为准</w:t>
      </w:r>
    </w:p>
    <w:p>
      <w:pPr>
        <w:jc w:val="left"/>
      </w:pPr>
    </w:p>
    <w:p>
      <w:pPr>
        <w:jc w:val="left"/>
        <w:rPr>
          <w:rFonts w:hint="eastAsia"/>
        </w:rPr>
      </w:pPr>
      <w:r>
        <w:rPr>
          <w:rFonts w:hint="eastAsia"/>
        </w:rPr>
        <w:t>2. 回踩黄金坑时介入如图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475230" cy="1228725"/>
            <wp:effectExtent l="19050" t="0" r="981" b="0"/>
            <wp:docPr id="15" name="图片 15" descr="C:\Documents and Settings\Administrator\Application Data\Tencent\Users\1363299739\TIM\WinTemp\RichOle\(04~4V%_CYQ@3T8SN6Q(C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Documents and Settings\Administrator\Application Data\Tencent\Users\1363299739\TIM\WinTemp\RichOle\(04~4V%_CYQ@3T8SN6Q(C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5519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219325" cy="1228725"/>
            <wp:effectExtent l="19050" t="0" r="9525" b="0"/>
            <wp:docPr id="17" name="图片 17" descr="C:\Documents and Settings\Administrator\Application Data\Tencent\Users\1363299739\TIM\WinTemp\RichOle\~0}FYIK_PDUN5BB_C3XPP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Documents and Settings\Administrator\Application Data\Tencent\Users\1363299739\TIM\WinTemp\RichOle\~0}FYIK_PDUN5BB_C3XPPT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475865" cy="1219200"/>
            <wp:effectExtent l="19050" t="0" r="635" b="0"/>
            <wp:docPr id="21" name="图片 21" descr="C:\Documents and Settings\Administrator\Application Data\Tencent\Users\1363299739\TIM\WinTemp\RichOle\M~M83M~5HA82T0KKI77M[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Documents and Settings\Administrator\Application Data\Tencent\Users\1363299739\TIM\WinTemp\RichOle\M~M83M~5HA82T0KKI77M[IV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586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571750" cy="1285875"/>
            <wp:effectExtent l="19050" t="0" r="0" b="0"/>
            <wp:docPr id="23" name="图片 23" descr="C:\Documents and Settings\Administrator\Application Data\Tencent\Users\1363299739\TIM\WinTemp\RichOle\~FM)Z0`8CZ4LHSU4]060`Q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Documents and Settings\Administrator\Application Data\Tencent\Users\1363299739\TIM\WinTemp\RichOle\~FM)Z0`8CZ4LHSU4]060`Q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</w:rPr>
        <w:t>此种情况如何选择买入时机：①尾盘的14:50-14:57买入②介入价要看好左侧黄金坑的双线③观察好群主交代的大盘周期表④当前热点题材⑤观察当日黄金坑涨停中的特点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jc w:val="left"/>
      </w:pPr>
      <w:r>
        <w:rPr>
          <w:rFonts w:hint="eastAsia"/>
        </w:rPr>
        <w:t>3.回踩中线企稳时介入，但此种方法在熊市较为危险（熊市中线位是主力二次洗盘或出货点，牛市则不同），在大盘牛市区时才有效，建议不要轻易操作，如图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371725" cy="1400175"/>
            <wp:effectExtent l="19050" t="0" r="9525" b="0"/>
            <wp:docPr id="27" name="图片 27" descr="C:\Documents and Settings\Administrator\Application Data\Tencent\Users\1363299739\TIM\WinTemp\RichOle\}H%MOKH(A{$MTUB2}3H4G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Documents and Settings\Administrator\Application Data\Tencent\Users\1363299739\TIM\WinTemp\RichOle\}H%MOKH(A{$MTUB2}3H4GF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154" cy="1401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638425" cy="1483995"/>
            <wp:effectExtent l="19050" t="0" r="0" b="0"/>
            <wp:docPr id="29" name="图片 29" descr="C:\Documents and Settings\Administrator\Application Data\Tencent\Users\1363299739\TIM\WinTemp\RichOle\5NABDC]RQO4YXXCXEJSO}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Documents and Settings\Administrator\Application Data\Tencent\Users\1363299739\TIM\WinTemp\RichOle\5NABDC]RQO4YXXCXEJSO}7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074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二．如何选股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1.针对上面第一种设计了黄金坑选股器，如图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095750" cy="2412365"/>
            <wp:effectExtent l="19050" t="0" r="0" b="0"/>
            <wp:docPr id="33" name="图片 33" descr="C:\Documents and Settings\Administrator\Application Data\Tencent\Users\1363299739\TIM\WinTemp\RichOle\}6]SM6`MLWU26]`U~GF[2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Documents and Settings\Administrator\Application Data\Tencent\Users\1363299739\TIM\WinTemp\RichOle\}6]SM6`MLWU26]`U~GF[2MF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7105" cy="241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天数选择1为当日。如果选出的股票较多，可以增加选股条件，比如市盈率、金针探底、单阳盖阴等等，直到找到你需要的股票。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2. 针对上面第二种设计了回踩黄金坑选股器，如图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095750" cy="2457450"/>
            <wp:effectExtent l="19050" t="0" r="0" b="0"/>
            <wp:docPr id="35" name="图片 35" descr="C:\Documents and Settings\Administrator\Application Data\Tencent\Users\1363299739\TIM\WinTemp\RichOle\BUT$3NBT8BY(7{M75H@3S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C:\Documents and Settings\Administrator\Application Data\Tencent\Users\1363299739\TIM\WinTemp\RichOle\BUT$3NBT8BY(7{M75H@3S8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8841" cy="24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如果选出的股票较多，可以增加选股条件，比如市盈率、金针探底、单阳盖阴等等，直到找到你需要的股票。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二 其他说明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黄金坑是股票波段底部的信号，是上升浪的绝对初始点。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当股价跌破黄金坑止损价，信号会消失。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黄金坑并不代表次日一定会涨停。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行走股道中，切记莫太贪。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三．本人是股票指标设计人，如有其他设计要求请联系本人。当全力效劳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b/>
          <w:bCs/>
          <w:color w:val="FF0000"/>
          <w:sz w:val="30"/>
          <w:szCs w:val="30"/>
        </w:rPr>
      </w:pPr>
      <w:r>
        <w:rPr>
          <w:rFonts w:ascii="宋体" w:hAnsi="宋体" w:eastAsia="宋体" w:cs="宋体"/>
          <w:b/>
          <w:bCs/>
          <w:color w:val="FF0000"/>
          <w:kern w:val="0"/>
          <w:sz w:val="30"/>
          <w:szCs w:val="30"/>
          <w:lang w:val="en-US" w:eastAsia="zh-CN" w:bidi="ar"/>
        </w:rPr>
        <w:t xml:space="preserve">欢迎加入理想论坛指标宝箱，群聊号码：792574052 </w:t>
      </w:r>
      <w:bookmarkStart w:id="0" w:name="_GoBack"/>
      <w:bookmarkEnd w:id="0"/>
    </w:p>
    <w:p>
      <w:pPr>
        <w:jc w:val="left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              </w:t>
      </w:r>
      <w:r>
        <w:rPr>
          <w:rFonts w:hint="eastAsia"/>
          <w:b/>
          <w:bCs/>
          <w:color w:val="4F81BD" w:themeColor="accent1"/>
          <w:sz w:val="30"/>
          <w:szCs w:val="30"/>
        </w:rPr>
        <w:t>QQ</w:t>
      </w:r>
      <w:r>
        <w:rPr>
          <w:rFonts w:hint="eastAsia"/>
        </w:rPr>
        <w:t>: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2285206433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EDB"/>
    <w:multiLevelType w:val="multilevel"/>
    <w:tmpl w:val="18412EDB"/>
    <w:lvl w:ilvl="0" w:tentative="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35" w:hanging="420"/>
      </w:pPr>
    </w:lvl>
    <w:lvl w:ilvl="2" w:tentative="0">
      <w:start w:val="1"/>
      <w:numFmt w:val="lowerRoman"/>
      <w:lvlText w:val="%3."/>
      <w:lvlJc w:val="right"/>
      <w:pPr>
        <w:ind w:left="1455" w:hanging="420"/>
      </w:pPr>
    </w:lvl>
    <w:lvl w:ilvl="3" w:tentative="0">
      <w:start w:val="1"/>
      <w:numFmt w:val="decimal"/>
      <w:lvlText w:val="%4."/>
      <w:lvlJc w:val="left"/>
      <w:pPr>
        <w:ind w:left="1875" w:hanging="420"/>
      </w:pPr>
    </w:lvl>
    <w:lvl w:ilvl="4" w:tentative="0">
      <w:start w:val="1"/>
      <w:numFmt w:val="lowerLetter"/>
      <w:lvlText w:val="%5)"/>
      <w:lvlJc w:val="left"/>
      <w:pPr>
        <w:ind w:left="2295" w:hanging="420"/>
      </w:pPr>
    </w:lvl>
    <w:lvl w:ilvl="5" w:tentative="0">
      <w:start w:val="1"/>
      <w:numFmt w:val="lowerRoman"/>
      <w:lvlText w:val="%6."/>
      <w:lvlJc w:val="right"/>
      <w:pPr>
        <w:ind w:left="2715" w:hanging="420"/>
      </w:pPr>
    </w:lvl>
    <w:lvl w:ilvl="6" w:tentative="0">
      <w:start w:val="1"/>
      <w:numFmt w:val="decimal"/>
      <w:lvlText w:val="%7."/>
      <w:lvlJc w:val="left"/>
      <w:pPr>
        <w:ind w:left="3135" w:hanging="420"/>
      </w:pPr>
    </w:lvl>
    <w:lvl w:ilvl="7" w:tentative="0">
      <w:start w:val="1"/>
      <w:numFmt w:val="lowerLetter"/>
      <w:lvlText w:val="%8)"/>
      <w:lvlJc w:val="left"/>
      <w:pPr>
        <w:ind w:left="3555" w:hanging="420"/>
      </w:pPr>
    </w:lvl>
    <w:lvl w:ilvl="8" w:tentative="0">
      <w:start w:val="1"/>
      <w:numFmt w:val="lowerRoman"/>
      <w:lvlText w:val="%9."/>
      <w:lvlJc w:val="right"/>
      <w:pPr>
        <w:ind w:left="397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616F"/>
    <w:rsid w:val="000B22A2"/>
    <w:rsid w:val="001C6C37"/>
    <w:rsid w:val="0027616D"/>
    <w:rsid w:val="00276650"/>
    <w:rsid w:val="002832C0"/>
    <w:rsid w:val="00374C1F"/>
    <w:rsid w:val="003979CF"/>
    <w:rsid w:val="003F01D7"/>
    <w:rsid w:val="00570B71"/>
    <w:rsid w:val="0063017D"/>
    <w:rsid w:val="006A4ECA"/>
    <w:rsid w:val="00AC4C6C"/>
    <w:rsid w:val="00B35256"/>
    <w:rsid w:val="00B56BF5"/>
    <w:rsid w:val="00BB6741"/>
    <w:rsid w:val="00CE548E"/>
    <w:rsid w:val="00D94436"/>
    <w:rsid w:val="00DC616F"/>
    <w:rsid w:val="00DE45FD"/>
    <w:rsid w:val="1A99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160</Words>
  <Characters>916</Characters>
  <Lines>7</Lines>
  <Paragraphs>2</Paragraphs>
  <TotalTime>2</TotalTime>
  <ScaleCrop>false</ScaleCrop>
  <LinksUpToDate>false</LinksUpToDate>
  <CharactersWithSpaces>1074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2018-07-12T02:39:00Z</dcterms:created>
  <dc:creator>User</dc:creator>
  <cp:lastModifiedBy>Administrator</cp:lastModifiedBy>
  <dcterms:modified xsi:type="dcterms:W3CDTF">2018-08-30T07:35:15Z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