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4D6" w:rsidRPr="005E04D6" w:rsidRDefault="005E04D6" w:rsidP="005E04D6">
      <w:pPr>
        <w:pStyle w:val="a5"/>
        <w:rPr>
          <w:color w:val="333333"/>
          <w:sz w:val="21"/>
          <w:szCs w:val="21"/>
        </w:rPr>
      </w:pPr>
      <w:r w:rsidRPr="005E04D6">
        <w:rPr>
          <w:rFonts w:hint="eastAsia"/>
          <w:color w:val="333333"/>
          <w:sz w:val="21"/>
          <w:szCs w:val="21"/>
        </w:rPr>
        <w:t xml:space="preserve">　　像KDJ，MACD及强弱指标RSI等指标容易出现纯化现象，买入时机的选择灵敏度不高，特别不适合喜欢超短线炒股急于求成的股友们。而CCI顺势指标却不会出现指标的纯化，CCI指标波动在正或负无穷大，有利于投资者研判行情，适合爆涨爆跌时机抄底，当CCI长期在负150-300时，第一次上穿负100时可以观望一下，当第二次上穿负100时，则果断买入。</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w:t>
      </w:r>
      <w:r w:rsidRPr="005E04D6">
        <w:rPr>
          <w:noProof/>
          <w:color w:val="333333"/>
          <w:sz w:val="21"/>
          <w:szCs w:val="21"/>
        </w:rPr>
        <w:drawing>
          <wp:inline distT="0" distB="0" distL="0" distR="0">
            <wp:extent cx="5686425" cy="4286250"/>
            <wp:effectExtent l="19050" t="0" r="9525" b="0"/>
            <wp:docPr id="26" name="图片 26" descr="http://img.mp.itc.cn/upload/20160613/d9e773d7ce9947f6a7a27cb81f98fbc4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img.mp.itc.cn/upload/20160613/d9e773d7ce9947f6a7a27cb81f98fbc4_th.jpg"/>
                    <pic:cNvPicPr>
                      <a:picLocks noChangeAspect="1" noChangeArrowheads="1"/>
                    </pic:cNvPicPr>
                  </pic:nvPicPr>
                  <pic:blipFill>
                    <a:blip r:embed="rId6"/>
                    <a:srcRect/>
                    <a:stretch>
                      <a:fillRect/>
                    </a:stretch>
                  </pic:blipFill>
                  <pic:spPr bwMode="auto">
                    <a:xfrm>
                      <a:off x="0" y="0"/>
                      <a:ext cx="5686425" cy="4286250"/>
                    </a:xfrm>
                    <a:prstGeom prst="rect">
                      <a:avLst/>
                    </a:prstGeom>
                    <a:noFill/>
                    <a:ln w="9525">
                      <a:noFill/>
                      <a:miter lim="800000"/>
                      <a:headEnd/>
                      <a:tailEnd/>
                    </a:ln>
                  </pic:spPr>
                </pic:pic>
              </a:graphicData>
            </a:graphic>
          </wp:inline>
        </w:drawing>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w:t>
      </w:r>
      <w:r w:rsidRPr="005E04D6">
        <w:rPr>
          <w:rStyle w:val="a6"/>
          <w:rFonts w:hint="eastAsia"/>
          <w:color w:val="333333"/>
          <w:sz w:val="21"/>
          <w:szCs w:val="21"/>
        </w:rPr>
        <w:t>一、什么是CCI指标？</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顺势指标简称CCI指标，是衡量股价是否超出常态分布范围的一种超买超卖类指标。CCI指标是波动于正无穷大到负无穷大之间，因此不会出现指标钝化现象，这样就有利于投资者更好地研判行情，特别是那些短期内暴涨暴跌的非常态行情。</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w:t>
      </w:r>
      <w:r w:rsidRPr="005E04D6">
        <w:rPr>
          <w:noProof/>
          <w:color w:val="333333"/>
          <w:sz w:val="21"/>
          <w:szCs w:val="21"/>
        </w:rPr>
        <w:drawing>
          <wp:inline distT="0" distB="0" distL="0" distR="0">
            <wp:extent cx="5686425" cy="1762125"/>
            <wp:effectExtent l="19050" t="0" r="9525" b="0"/>
            <wp:docPr id="27" name="图片 27" descr="http://img.mp.itc.cn/upload/20160613/86318ef1307f4074ba00fb1c6f477b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img.mp.itc.cn/upload/20160613/86318ef1307f4074ba00fb1c6f477bff.jpg"/>
                    <pic:cNvPicPr>
                      <a:picLocks noChangeAspect="1" noChangeArrowheads="1"/>
                    </pic:cNvPicPr>
                  </pic:nvPicPr>
                  <pic:blipFill>
                    <a:blip r:embed="rId7"/>
                    <a:srcRect/>
                    <a:stretch>
                      <a:fillRect/>
                    </a:stretch>
                  </pic:blipFill>
                  <pic:spPr bwMode="auto">
                    <a:xfrm>
                      <a:off x="0" y="0"/>
                      <a:ext cx="5686425" cy="1762125"/>
                    </a:xfrm>
                    <a:prstGeom prst="rect">
                      <a:avLst/>
                    </a:prstGeom>
                    <a:noFill/>
                    <a:ln w="9525">
                      <a:noFill/>
                      <a:miter lim="800000"/>
                      <a:headEnd/>
                      <a:tailEnd/>
                    </a:ln>
                  </pic:spPr>
                </pic:pic>
              </a:graphicData>
            </a:graphic>
          </wp:inline>
        </w:drawing>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CCI指标就分为三类：+100以上为超买区，-100以下为超卖区，+100到-100之间为震荡区。但是该指标在这三个区域当中的运行所包含的技术含义与其它技术指标的超买与超卖的定义是不同的。</w:t>
      </w:r>
    </w:p>
    <w:p w:rsidR="005E04D6" w:rsidRPr="005E04D6" w:rsidRDefault="005E04D6" w:rsidP="005E04D6">
      <w:pPr>
        <w:pStyle w:val="a5"/>
        <w:rPr>
          <w:rFonts w:hint="eastAsia"/>
          <w:color w:val="333333"/>
          <w:sz w:val="21"/>
          <w:szCs w:val="21"/>
        </w:rPr>
      </w:pPr>
      <w:r w:rsidRPr="005E04D6">
        <w:rPr>
          <w:rFonts w:hint="eastAsia"/>
          <w:color w:val="333333"/>
          <w:sz w:val="21"/>
          <w:szCs w:val="21"/>
        </w:rPr>
        <w:lastRenderedPageBreak/>
        <w:t xml:space="preserve">　　</w:t>
      </w:r>
      <w:r w:rsidRPr="005E04D6">
        <w:rPr>
          <w:rStyle w:val="a6"/>
          <w:rFonts w:hint="eastAsia"/>
          <w:color w:val="333333"/>
          <w:sz w:val="21"/>
          <w:szCs w:val="21"/>
        </w:rPr>
        <w:t>第二</w:t>
      </w:r>
      <w:r w:rsidRPr="005E04D6">
        <w:rPr>
          <w:rFonts w:hint="eastAsia"/>
          <w:color w:val="333333"/>
          <w:sz w:val="21"/>
          <w:szCs w:val="21"/>
        </w:rPr>
        <w:t>、</w:t>
      </w:r>
      <w:r w:rsidRPr="005E04D6">
        <w:rPr>
          <w:rStyle w:val="a6"/>
          <w:rFonts w:hint="eastAsia"/>
          <w:color w:val="333333"/>
          <w:sz w:val="21"/>
          <w:szCs w:val="21"/>
        </w:rPr>
        <w:t>CCI背离抄底要点</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股价经过长期的下跌，一路不断创出新低，然而对应的CCI指标却拒绝继续下跌，反而不断上升，出现股价和CCI指标的背离。</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1、发现股价和CCI指标的背离后，不要就买入，要等CCI上穿-100的时候买入，准确达98%！</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2、CCI指标出现顶背离后，股价见顶回落的可能性较大，是比较强烈的卖出信号。</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w:t>
      </w:r>
      <w:r w:rsidRPr="005E04D6">
        <w:rPr>
          <w:noProof/>
          <w:color w:val="333333"/>
          <w:sz w:val="21"/>
          <w:szCs w:val="21"/>
        </w:rPr>
        <w:drawing>
          <wp:inline distT="0" distB="0" distL="0" distR="0">
            <wp:extent cx="5715000" cy="3905250"/>
            <wp:effectExtent l="19050" t="0" r="0" b="0"/>
            <wp:docPr id="28" name="图片 28" descr="http://img.mp.itc.cn/upload/20160613/1cd266a880324759a2aae1c3b740adf1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img.mp.itc.cn/upload/20160613/1cd266a880324759a2aae1c3b740adf1_th.jpg"/>
                    <pic:cNvPicPr>
                      <a:picLocks noChangeAspect="1" noChangeArrowheads="1"/>
                    </pic:cNvPicPr>
                  </pic:nvPicPr>
                  <pic:blipFill>
                    <a:blip r:embed="rId8"/>
                    <a:srcRect/>
                    <a:stretch>
                      <a:fillRect/>
                    </a:stretch>
                  </pic:blipFill>
                  <pic:spPr bwMode="auto">
                    <a:xfrm>
                      <a:off x="0" y="0"/>
                      <a:ext cx="5715000" cy="3905250"/>
                    </a:xfrm>
                    <a:prstGeom prst="rect">
                      <a:avLst/>
                    </a:prstGeom>
                    <a:noFill/>
                    <a:ln w="9525">
                      <a:noFill/>
                      <a:miter lim="800000"/>
                      <a:headEnd/>
                      <a:tailEnd/>
                    </a:ln>
                  </pic:spPr>
                </pic:pic>
              </a:graphicData>
            </a:graphic>
          </wp:inline>
        </w:drawing>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w:t>
      </w:r>
      <w:r w:rsidRPr="005E04D6">
        <w:rPr>
          <w:rStyle w:val="a6"/>
          <w:rFonts w:hint="eastAsia"/>
          <w:color w:val="333333"/>
          <w:sz w:val="21"/>
          <w:szCs w:val="21"/>
        </w:rPr>
        <w:t>实际操作：</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w:t>
      </w:r>
      <w:r w:rsidRPr="005E04D6">
        <w:rPr>
          <w:rStyle w:val="a6"/>
          <w:rFonts w:hint="eastAsia"/>
          <w:color w:val="333333"/>
          <w:sz w:val="21"/>
          <w:szCs w:val="21"/>
        </w:rPr>
        <w:t>例如：</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下图钱江生化（600796）2008年2月19日关注，在2008年2月28日选择买进，08年3月5日卖出，5个交易日获利50%以上。</w:t>
      </w:r>
    </w:p>
    <w:p w:rsidR="005E04D6" w:rsidRPr="005E04D6" w:rsidRDefault="005E04D6" w:rsidP="005E04D6">
      <w:pPr>
        <w:pStyle w:val="a5"/>
        <w:rPr>
          <w:rFonts w:hint="eastAsia"/>
          <w:color w:val="333333"/>
          <w:sz w:val="21"/>
          <w:szCs w:val="21"/>
        </w:rPr>
      </w:pPr>
      <w:r w:rsidRPr="005E04D6">
        <w:rPr>
          <w:rFonts w:hint="eastAsia"/>
          <w:color w:val="333333"/>
          <w:sz w:val="21"/>
          <w:szCs w:val="21"/>
        </w:rPr>
        <w:lastRenderedPageBreak/>
        <w:t xml:space="preserve">　　</w:t>
      </w:r>
      <w:r w:rsidRPr="005E04D6">
        <w:rPr>
          <w:noProof/>
          <w:color w:val="333333"/>
          <w:sz w:val="21"/>
          <w:szCs w:val="21"/>
        </w:rPr>
        <w:drawing>
          <wp:inline distT="0" distB="0" distL="0" distR="0">
            <wp:extent cx="5715000" cy="5191125"/>
            <wp:effectExtent l="19050" t="0" r="0" b="0"/>
            <wp:docPr id="29" name="图片 29" descr="http://img.mp.itc.cn/upload/20160613/98d84c8d10b04a338c27386518aa41f9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img.mp.itc.cn/upload/20160613/98d84c8d10b04a338c27386518aa41f9_th.jpg"/>
                    <pic:cNvPicPr>
                      <a:picLocks noChangeAspect="1" noChangeArrowheads="1"/>
                    </pic:cNvPicPr>
                  </pic:nvPicPr>
                  <pic:blipFill>
                    <a:blip r:embed="rId9"/>
                    <a:srcRect/>
                    <a:stretch>
                      <a:fillRect/>
                    </a:stretch>
                  </pic:blipFill>
                  <pic:spPr bwMode="auto">
                    <a:xfrm>
                      <a:off x="0" y="0"/>
                      <a:ext cx="5715000" cy="5191125"/>
                    </a:xfrm>
                    <a:prstGeom prst="rect">
                      <a:avLst/>
                    </a:prstGeom>
                    <a:noFill/>
                    <a:ln w="9525">
                      <a:noFill/>
                      <a:miter lim="800000"/>
                      <a:headEnd/>
                      <a:tailEnd/>
                    </a:ln>
                  </pic:spPr>
                </pic:pic>
              </a:graphicData>
            </a:graphic>
          </wp:inline>
        </w:drawing>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w:t>
      </w:r>
      <w:r w:rsidRPr="005E04D6">
        <w:rPr>
          <w:rStyle w:val="a6"/>
          <w:rFonts w:hint="eastAsia"/>
          <w:color w:val="333333"/>
          <w:sz w:val="21"/>
          <w:szCs w:val="21"/>
        </w:rPr>
        <w:t>注：利用CCI背离抄底逃顶，准确率相当高</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(1)长期下跌后第一次碰-100不能买，第二次碰-100在即将上穿之时买入(必须底背离，成功率才100%)。</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(2)股价到+100时“加码”买入，在+100以上开始回头时跌破+100应该卖出，然后按照密码线(144天线？)支撑位置可以买入，第二次穿过+100之时股价一般会创新高，但是指标如果背离时，再次跌破+100，坚决抛光！</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(3)再次到-100以下时，就重复上面的方法。但是在+100以上再回头，就不建议买入了。</w:t>
      </w:r>
    </w:p>
    <w:p w:rsidR="005E04D6" w:rsidRPr="005E04D6" w:rsidRDefault="005E04D6" w:rsidP="005E04D6">
      <w:pPr>
        <w:pStyle w:val="a5"/>
        <w:rPr>
          <w:rFonts w:hint="eastAsia"/>
          <w:color w:val="333333"/>
          <w:sz w:val="21"/>
          <w:szCs w:val="21"/>
        </w:rPr>
      </w:pPr>
      <w:r w:rsidRPr="005E04D6">
        <w:rPr>
          <w:rFonts w:hint="eastAsia"/>
          <w:color w:val="333333"/>
          <w:sz w:val="21"/>
          <w:szCs w:val="21"/>
        </w:rPr>
        <w:t xml:space="preserve">　　(4)此指标周期(日，周，月，45天)越长越准确。</w:t>
      </w:r>
    </w:p>
    <w:p w:rsidR="005E04D6" w:rsidRPr="005E04D6" w:rsidRDefault="005E04D6" w:rsidP="005E04D6">
      <w:pPr>
        <w:pStyle w:val="a5"/>
        <w:rPr>
          <w:rFonts w:hint="eastAsia"/>
          <w:color w:val="333333"/>
          <w:sz w:val="21"/>
          <w:szCs w:val="21"/>
        </w:rPr>
      </w:pPr>
      <w:r w:rsidRPr="005E04D6">
        <w:rPr>
          <w:rFonts w:hint="eastAsia"/>
          <w:color w:val="333333"/>
          <w:sz w:val="21"/>
          <w:szCs w:val="21"/>
        </w:rPr>
        <w:lastRenderedPageBreak/>
        <w:t xml:space="preserve">　　</w:t>
      </w:r>
      <w:r w:rsidRPr="005E04D6">
        <w:rPr>
          <w:noProof/>
          <w:color w:val="333333"/>
          <w:sz w:val="21"/>
          <w:szCs w:val="21"/>
        </w:rPr>
        <w:drawing>
          <wp:inline distT="0" distB="0" distL="0" distR="0">
            <wp:extent cx="5715000" cy="3676650"/>
            <wp:effectExtent l="19050" t="0" r="0" b="0"/>
            <wp:docPr id="30" name="图片 30" descr="http://img.mp.itc.cn/upload/20160613/fc47c5e33a294fdf83c59db20b428c19_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img.mp.itc.cn/upload/20160613/fc47c5e33a294fdf83c59db20b428c19_th.jpg"/>
                    <pic:cNvPicPr>
                      <a:picLocks noChangeAspect="1" noChangeArrowheads="1"/>
                    </pic:cNvPicPr>
                  </pic:nvPicPr>
                  <pic:blipFill>
                    <a:blip r:embed="rId10"/>
                    <a:srcRect/>
                    <a:stretch>
                      <a:fillRect/>
                    </a:stretch>
                  </pic:blipFill>
                  <pic:spPr bwMode="auto">
                    <a:xfrm>
                      <a:off x="0" y="0"/>
                      <a:ext cx="5715000" cy="3676650"/>
                    </a:xfrm>
                    <a:prstGeom prst="rect">
                      <a:avLst/>
                    </a:prstGeom>
                    <a:noFill/>
                    <a:ln w="9525">
                      <a:noFill/>
                      <a:miter lim="800000"/>
                      <a:headEnd/>
                      <a:tailEnd/>
                    </a:ln>
                  </pic:spPr>
                </pic:pic>
              </a:graphicData>
            </a:graphic>
          </wp:inline>
        </w:drawing>
      </w:r>
    </w:p>
    <w:p w:rsidR="0022519F" w:rsidRPr="005E04D6" w:rsidRDefault="0022519F" w:rsidP="005E04D6">
      <w:pPr>
        <w:rPr>
          <w:rFonts w:ascii="宋体" w:eastAsia="宋体" w:hAnsi="宋体"/>
        </w:rPr>
      </w:pPr>
    </w:p>
    <w:sectPr w:rsidR="0022519F" w:rsidRPr="005E04D6" w:rsidSect="005E04D6">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19F" w:rsidRDefault="0022519F" w:rsidP="005E04D6">
      <w:r>
        <w:separator/>
      </w:r>
    </w:p>
  </w:endnote>
  <w:endnote w:type="continuationSeparator" w:id="1">
    <w:p w:rsidR="0022519F" w:rsidRDefault="0022519F" w:rsidP="005E04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19F" w:rsidRDefault="0022519F" w:rsidP="005E04D6">
      <w:r>
        <w:separator/>
      </w:r>
    </w:p>
  </w:footnote>
  <w:footnote w:type="continuationSeparator" w:id="1">
    <w:p w:rsidR="0022519F" w:rsidRDefault="0022519F" w:rsidP="005E04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04D6"/>
    <w:rsid w:val="0022519F"/>
    <w:rsid w:val="005E04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04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04D6"/>
    <w:rPr>
      <w:sz w:val="18"/>
      <w:szCs w:val="18"/>
    </w:rPr>
  </w:style>
  <w:style w:type="paragraph" w:styleId="a4">
    <w:name w:val="footer"/>
    <w:basedOn w:val="a"/>
    <w:link w:val="Char0"/>
    <w:uiPriority w:val="99"/>
    <w:semiHidden/>
    <w:unhideWhenUsed/>
    <w:rsid w:val="005E04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E04D6"/>
    <w:rPr>
      <w:sz w:val="18"/>
      <w:szCs w:val="18"/>
    </w:rPr>
  </w:style>
  <w:style w:type="paragraph" w:styleId="a5">
    <w:name w:val="Normal (Web)"/>
    <w:basedOn w:val="a"/>
    <w:uiPriority w:val="99"/>
    <w:semiHidden/>
    <w:unhideWhenUsed/>
    <w:rsid w:val="005E04D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E04D6"/>
    <w:rPr>
      <w:b/>
      <w:bCs/>
    </w:rPr>
  </w:style>
  <w:style w:type="paragraph" w:styleId="a7">
    <w:name w:val="Balloon Text"/>
    <w:basedOn w:val="a"/>
    <w:link w:val="Char1"/>
    <w:uiPriority w:val="99"/>
    <w:semiHidden/>
    <w:unhideWhenUsed/>
    <w:rsid w:val="005E04D6"/>
    <w:rPr>
      <w:sz w:val="18"/>
      <w:szCs w:val="18"/>
    </w:rPr>
  </w:style>
  <w:style w:type="character" w:customStyle="1" w:styleId="Char1">
    <w:name w:val="批注框文本 Char"/>
    <w:basedOn w:val="a0"/>
    <w:link w:val="a7"/>
    <w:uiPriority w:val="99"/>
    <w:semiHidden/>
    <w:rsid w:val="005E04D6"/>
    <w:rPr>
      <w:sz w:val="18"/>
      <w:szCs w:val="18"/>
    </w:rPr>
  </w:style>
</w:styles>
</file>

<file path=word/webSettings.xml><?xml version="1.0" encoding="utf-8"?>
<w:webSettings xmlns:r="http://schemas.openxmlformats.org/officeDocument/2006/relationships" xmlns:w="http://schemas.openxmlformats.org/wordprocessingml/2006/main">
  <w:divs>
    <w:div w:id="422190430">
      <w:bodyDiv w:val="1"/>
      <w:marLeft w:val="0"/>
      <w:marRight w:val="0"/>
      <w:marTop w:val="0"/>
      <w:marBottom w:val="0"/>
      <w:divBdr>
        <w:top w:val="none" w:sz="0" w:space="0" w:color="auto"/>
        <w:left w:val="none" w:sz="0" w:space="0" w:color="auto"/>
        <w:bottom w:val="none" w:sz="0" w:space="0" w:color="auto"/>
        <w:right w:val="none" w:sz="0" w:space="0" w:color="auto"/>
      </w:divBdr>
    </w:div>
    <w:div w:id="12163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139</Words>
  <Characters>795</Characters>
  <Application>Microsoft Office Word</Application>
  <DocSecurity>0</DocSecurity>
  <Lines>6</Lines>
  <Paragraphs>1</Paragraphs>
  <ScaleCrop>false</ScaleCrop>
  <Company>Sky123.Org</Company>
  <LinksUpToDate>false</LinksUpToDate>
  <CharactersWithSpaces>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2016-10-07T12:57:00Z</dcterms:created>
  <dcterms:modified xsi:type="dcterms:W3CDTF">2016-10-07T12:58:00Z</dcterms:modified>
</cp:coreProperties>
</file>